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5.- TEST DE FLEXIBILIDAD DE LAS EXTREMIDADES SUPERIORES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(Rascarse la espalda)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Protocolo: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En una posición de pie, el/la participante coloca una mano preferida detrás del hombro del mismo lado, con la palma hacia abajo y los dedos extendidos, alcanzando la mitad de la espalda hacia abajo (con el codo dirigido hacia arriba). El/la participante coloca la otra mano detrás de la espalda, palma hacia fuera, alcanzando tan lejos como le sea posible en un intento para tocar o superponer los dedos medios (o los dedos más largos) extendidos de ambas manos.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Sin mover las manos del participante, el evaluador ayuda par ver que los dedos medios de cada mano se dirigen el uno hacia el otro. No se permite que el/la participante agarre o junte los dedos y tire. El evaluador NO puede ayudar al participante (estirando o empujando las manos) durante la ejecución del test.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Después de la demostración, por el/la evaluador/a, se deja al participante un tiempo de prueba y posteriormente realiza el test con dos intentos (uno con cada mano). Figura 5.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833688" cy="46478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4647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Puntuación: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Se mide la distancia de superposición o entre la punta de ambos dedos medios (o los más largos) al centímetro más próximo. Se concede una puntuación 8 negativa (-) para representar la distancia que falta para que se toquen los dedos; se concede una puntuación positiva (+) para representar la distancia de superposición. Registre ambos valores y marque con un círculo el mejor valor y utilícelo para evaluar la ejecución de la prueba. Asegúrese de registrar “menos” (-) o “más” (+) en la ficha de registro.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Observación: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Para facilitar la medida conviene situar la regla por debajo de las manos (entre la espalda y las manos).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